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326</w:t>
      </w:r>
    </w:p>
    <w:p>
      <w:r>
        <w:t>Bundesgericht (BGE), 1974-06-21, FR</w:t>
      </w:r>
    </w:p>
    <w:p>
      <w:r>
        <w:rPr>
          <w:b/>
        </w:rPr>
        <w:t xml:space="preserve">Quelle: </w:t>
      </w:r>
      <w:r>
        <w:t>https://mcp.opencaselaw.ch/entscheid/bge_100 II 326</w:t>
      </w:r>
    </w:p>
    <w:p>
      <w:r>
        <w:t>FR: ATF 100 II 326</w:t>
      </w:r>
    </w:p>
    <w:p>
      <w:r>
        <w:t>IT: DTF 100 II 326</w:t>
      </w:r>
    </w:p>
    <w:p>
      <w:pPr>
        <w:pStyle w:val="Heading2"/>
      </w:pPr>
      <w:r>
        <w:t>Regeste</w:t>
      </w:r>
    </w:p>
    <w:p>
      <w:r>
        <w:t>Regeste 1. Die Tatsache, dass eine Besitzesstörung rechtmässig ist, steht der Zulässigkeit der Besitzesschutzklage nach Art. 928 Abs. 2 ZGB nicht entgegen, wenn der Urheber nicht alle geeigneten Massnahmen getroffen hat, um die daraus entstehenden Nachteile möglichst zu beheben. 2. Es obliegt der Person, welche die Verantwortung für die Eröffnung einer Baustelle trägt, die anstossenden Eigentümer frühzeitig genug zu benachrichtigen, damit diese sich überlegen können, welche Massnahmen zu treffen sind, um Unannehmlichkeiten zu beseitigen und Schaden zu verhüten.</w:t>
      </w:r>
    </w:p>
    <w:p>
      <w:pPr>
        <w:pStyle w:val="Heading2"/>
      </w:pPr>
      <w:r>
        <w:t>Erwägungen</w:t>
      </w:r>
    </w:p>
    <w:p>
      <w:r>
        <w:rPr>
          <w:b/>
        </w:rPr>
        <w:t>E. 1</w:t>
      </w:r>
    </w:p>
    <w:p>
      <w:r>
        <w:t>Le recourant prétend qu'en tant qu'architecte, sa responsabilité ne peut être engagée en application des art. 679 et 684 CC, qui fixent les devoirs des propriétaires et sanctionnent leur violation. Il fait valoir en outre qu'une action possessoire (art. 928 al. 2 CC) n'est pas non plus recevable contre l'architecte et que d'ailleurs, si elle l'était, elle devrait être rejetée en l'espèce, les travaux ayant été conduits conformément aux règles de l'art et avec diligence. Ces moyens ne sont pas fondés. D'une part, ce ne sont pas les travaux en soi, dont l'utilité ne peut être contestée, ni la façon et la diligence avec lesquelles ils ont été conduits qui sont en cause. D'autre part, même lorsqu'un trouble de la possession se révèle légitime pour une raison ou une autre, l'action de l'art. 928 al. 2 CC peut être recevable contre l'auteur du trouble (HOMBERGER, Komm., 2e éd., ad art. 928, p. 67, n. 4a) s'il ne veille pas à ce qu'il soit restreint au minimum. Ainsi, même si l'ouverture du chantier était indispensable BGE 100 II 326 S. 329 ou valablement décidée par la majorité des copropriétaires, il incombait à l'auteur du trouble de prendre toutes mesures pour limiter les inconvénients, faute de quoi il engageait sa responsabilité.</w:t>
      </w:r>
    </w:p>
    <w:p>
      <w:r>
        <w:rPr>
          <w:b/>
        </w:rPr>
        <w:t>E. 2</w:t>
      </w:r>
    </w:p>
    <w:p>
      <w:r>
        <w:t>La Cour cantonale a constaté que le recourant a pris l'initiative des travaux et en a assumé la direction; à ce titre, il pouvait être recherché comme auteur du trouble s'il ne prenait pas toutes mesures utiles pour éviter de gêner, dans toute la mesure possible, les autres propriétaires riverains. Il est établi à cet égard que le recourant a ouvert le chantier après l'avoir annoncé une semaine à l'avance, mais sans avoir reçu une réponse des copropriétaires sur les fonds desquels les travaux étaient entrepris et sans leur laisser le temps de prendre des dispositions. Or il incombait au recourant, qui a dirigé la construction de deux bâtiments en bordure du chemin des Charmettes, de prévoir et d'organiser assez à l'avance la réfection du chemin. Il était prévisible que le chemin allait être endommagé par les travaux et qu'à l'issue de ceux-ci le problème de sa remise en état allait se poser. Ce problème pouvait et devait être débattu suffisamment tôt, ce qui aurait permis aux propriétaires intéressés d'étudier les mesures à prendre pour limiter les inconvénients. Or non seulement ce n'est que le 13 septembre que le recourant a avisé les propriétaires bordiers que les travaux allaient commencer une semaine plus tard, mais encore, en ce qui concerne l'intimé, il l'a laissé, malgré ses interventions, dans l'ignorance du développement du chantier. Pour avoir négligé, avec une complète désinvolture, de prendre des mesures simples et compatibles avec l'organisation des travaux, qui, selon les constatations souveraines de la Cour cantonale, auraient été propres à éviter le dommage, le recourant répond, en application de l'art. 928 al. 2 CC, du trouble occasionné à la possession de l'intimé.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